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355D7" w14:textId="72F5BA8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t>Уважаемые родители, давайте подумаем над вопросом: “Что объединяет фотографии на экране?”.</w:t>
      </w:r>
    </w:p>
    <w:p w14:paraId="7AE0DF03" w14:textId="71481B5D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t xml:space="preserve">Действительно, на каждом изображении имеет место какая-то провокация. Короткая юбка, деньги, легкомысленно выглядывающие из кармана, ключ под половичком, ключи, оставленные в замке зажигания и т. д. </w:t>
      </w:r>
      <w:r>
        <w:t>Л</w:t>
      </w:r>
      <w:r w:rsidRPr="0068174E">
        <w:t>юбая жертва преступления как потенциальная так и реальная обладает определенными качествами, делающими ее в большей или в меньшей степени уязвимой. Определенные внешние качества, определенное поведение, специфическое общественное или служебное положение создают уязвимость: предрасположенность к причинению физического, морального или материального вреда, т.</w:t>
      </w:r>
      <w:r>
        <w:t xml:space="preserve"> е.</w:t>
      </w:r>
      <w:bookmarkStart w:id="0" w:name="_GoBack"/>
      <w:bookmarkEnd w:id="0"/>
      <w:r w:rsidRPr="0068174E">
        <w:t xml:space="preserve"> сознательно или бессознательно отклоняясь от норм безопасного поведения жертва преступления обладает </w:t>
      </w:r>
      <w:r w:rsidRPr="0068174E">
        <w:rPr>
          <w:b/>
          <w:bCs/>
          <w:i/>
          <w:iCs/>
        </w:rPr>
        <w:t>виктимным поведением.</w:t>
      </w:r>
    </w:p>
    <w:p w14:paraId="1FD861FD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rStyle w:val="a4"/>
        </w:rPr>
        <w:t>Слайд 2</w:t>
      </w:r>
    </w:p>
    <w:p w14:paraId="4B33EFF7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rStyle w:val="a5"/>
        </w:rPr>
        <w:t>Цель: </w:t>
      </w:r>
      <w:r w:rsidRPr="0068174E">
        <w:t>профилактика виктимного поведения</w:t>
      </w:r>
    </w:p>
    <w:p w14:paraId="2289B465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rStyle w:val="a4"/>
        </w:rPr>
        <w:t>Слайд 3</w:t>
      </w:r>
    </w:p>
    <w:p w14:paraId="17DA3C1E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i/>
          <w:iCs/>
        </w:rPr>
        <w:t>Текст слайда. </w:t>
      </w:r>
      <w:r w:rsidRPr="0068174E">
        <w:t>Проще говоря, виктимность – это такие действия и поступки человека, которые провоцируют желание на него напасть.</w:t>
      </w:r>
    </w:p>
    <w:p w14:paraId="2A4111EF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rStyle w:val="a4"/>
        </w:rPr>
        <w:t>Слайд 4</w:t>
      </w:r>
    </w:p>
    <w:p w14:paraId="1D59B8CC" w14:textId="17B806AB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i/>
          <w:iCs/>
        </w:rPr>
        <w:t>Текст слайда. </w:t>
      </w:r>
      <w:r w:rsidRPr="0068174E">
        <w:t>Лица, рискующие оказаться жертвами преступления, ведут себя по-разному: агрессивно или иным провоцирующим образом; пассивно, уступают насилию; проявляют полное непонимание уловок преступников или элементарную неосмотрительность. Их поведение может быть правомерным или, наоборот, правонарушающим и даже преступным, а вклад в механизм преступление как минимальным, так, при определенным обстоятельствах, и решающим.</w:t>
      </w:r>
    </w:p>
    <w:p w14:paraId="16131BB7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rStyle w:val="a4"/>
        </w:rPr>
        <w:t>Слайд 5</w:t>
      </w:r>
    </w:p>
    <w:p w14:paraId="761AF865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t>Получается, что виктимным поведением обладают не все люди, а определенная группа, представителей которой принято считать виктимными личностями. На экране сравнение двух типов поведения. </w:t>
      </w:r>
      <w:r w:rsidRPr="0068174E">
        <w:rPr>
          <w:i/>
          <w:iCs/>
        </w:rPr>
        <w:t>Текст слайда</w:t>
      </w:r>
    </w:p>
    <w:p w14:paraId="03B82E62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rStyle w:val="a4"/>
        </w:rPr>
        <w:t>Слайд 6</w:t>
      </w:r>
    </w:p>
    <w:p w14:paraId="4BD82A76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i/>
          <w:iCs/>
        </w:rPr>
        <w:t>Текст слайда</w:t>
      </w:r>
    </w:p>
    <w:p w14:paraId="3EE1C7EF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rStyle w:val="a4"/>
        </w:rPr>
        <w:t>Слайд 7</w:t>
      </w:r>
    </w:p>
    <w:p w14:paraId="76BFF835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i/>
          <w:iCs/>
        </w:rPr>
        <w:t>Текст слайда</w:t>
      </w:r>
    </w:p>
    <w:p w14:paraId="3DA20808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rStyle w:val="a4"/>
        </w:rPr>
        <w:t>Слайд 8</w:t>
      </w:r>
    </w:p>
    <w:p w14:paraId="0C1B01A3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t>Исходя из ситуативно ориентированных ролей, выделяются </w:t>
      </w:r>
      <w:r w:rsidRPr="0068174E">
        <w:rPr>
          <w:b/>
          <w:bCs/>
          <w:i/>
          <w:iCs/>
        </w:rPr>
        <w:t>агрессивные, активные, инициативные, пассивные, некритичные и нейтральные жертвы.</w:t>
      </w:r>
    </w:p>
    <w:p w14:paraId="031A7ED2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b/>
          <w:bCs/>
        </w:rPr>
        <w:t>Агрессивные жертвы. </w:t>
      </w:r>
      <w:r w:rsidRPr="0068174E">
        <w:t>Эту группу составляют жертвы, поведение которых заключается в нападении на причинителя вреда или других лиц (агрессивные насильники) или агрессии в иных формах – оскорблении, клевете, издевательстве и т. д. (агрессивные провокаторы).</w:t>
      </w:r>
    </w:p>
    <w:p w14:paraId="2A7FDF09" w14:textId="5B604806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i/>
          <w:iCs/>
        </w:rPr>
        <w:t>Агрессивные насильники общего плана</w:t>
      </w:r>
      <w:r w:rsidRPr="0068174E">
        <w:t>. Их агрессивность выражается в нападении, но не имеет жестко ограниченной адресности. По ведущей мотивации это – корыстные, сексуальные, хулиганы, негативные мстители, психически больные лица, страдающие расстройствами нервной системы.</w:t>
      </w:r>
    </w:p>
    <w:p w14:paraId="069C1E36" w14:textId="5123898A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i/>
          <w:iCs/>
        </w:rPr>
        <w:t>Избирательно агрессивные насильники</w:t>
      </w:r>
      <w:r w:rsidRPr="0068174E">
        <w:t>. Их агрессия реализуется в нападении на лицо, как правило, стабильно связанное с нападавшим. По ведущей мотивации это – корыстные, сексуальные, семейные деспоты, скандалисты, негативные мстители, психически больные, страдающие расстройствами нервной системы.</w:t>
      </w:r>
    </w:p>
    <w:p w14:paraId="2E3FC21A" w14:textId="63225274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i/>
          <w:iCs/>
        </w:rPr>
        <w:t>Избирательно агрессивные насильники</w:t>
      </w:r>
      <w:r>
        <w:rPr>
          <w:i/>
          <w:iCs/>
        </w:rPr>
        <w:t xml:space="preserve">. </w:t>
      </w:r>
      <w:r w:rsidRPr="0068174E">
        <w:t xml:space="preserve"> Их агрессия реализуется в нападении на лицо, как правило, стабильно связанное с нападавшим. По ведущей мотивации это – корыстные, сексуальные, семейные деспоты, скандалисты, негативные мстители, психически больные, страдающие расстройствами нервной системы.</w:t>
      </w:r>
    </w:p>
    <w:p w14:paraId="5F063A08" w14:textId="36C22573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i/>
          <w:iCs/>
        </w:rPr>
        <w:t>Агрессивные провокаторы общего плана</w:t>
      </w:r>
      <w:r w:rsidRPr="0068174E">
        <w:t xml:space="preserve">. Их агрессивное поведение не связано с физическим насилием и не имеет жесткой адресности. По ведущей мотивации это – хулиганы, </w:t>
      </w:r>
      <w:r w:rsidRPr="0068174E">
        <w:lastRenderedPageBreak/>
        <w:t>негативные мстители, лица, психически больные, страдающие расстройствами нервной системы.</w:t>
      </w:r>
      <w:r>
        <w:t xml:space="preserve"> </w:t>
      </w:r>
      <w:r w:rsidRPr="0068174E">
        <w:rPr>
          <w:i/>
          <w:iCs/>
        </w:rPr>
        <w:t>Избирательно агрессивные провокаторы </w:t>
      </w:r>
      <w:r w:rsidRPr="0068174E">
        <w:t>. Их агрессивность реализуется без применения физического насилия и, как правило, направлена на стабильно связанное с потерпевшим лицо. По ведущей мотивации это – семейные деспоты, скандалисты, корыстные, сексуальные, негативные мстители, психически больные, страдающие расстройствами нервной системы.</w:t>
      </w:r>
    </w:p>
    <w:p w14:paraId="0CED35E7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b/>
          <w:bCs/>
        </w:rPr>
        <w:t>Активные жертвы. </w:t>
      </w:r>
      <w:r w:rsidRPr="0068174E">
        <w:t>В эту группу входят жертвы, поведение которых не связано с нападением или толчком в форме конфликтного контакта, но причинение им вреда происходит при их активном содействии: сознательные подстрекатели, неосторожные подстрекатели, сознательные самопричинители, неосторожные самопричинители.</w:t>
      </w:r>
    </w:p>
    <w:p w14:paraId="03398F1A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b/>
          <w:bCs/>
        </w:rPr>
        <w:t>Инициативные жертвы. </w:t>
      </w:r>
      <w:r w:rsidRPr="0068174E">
        <w:t>В эту группу входят жертвы, поведение которых приводит к причинению им вреда: инициативные по должности, инициативные по общественному положению, инициативные в силу личностных качеств.</w:t>
      </w:r>
    </w:p>
    <w:p w14:paraId="5233840E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b/>
          <w:bCs/>
        </w:rPr>
        <w:t>Пассивные жертвы. </w:t>
      </w:r>
      <w:r w:rsidRPr="0068174E">
        <w:t>В эту группу входят лица, не оказывающие сопротивления, противодействия преступнику по различным причинам: объективно не способные к сопротивлению (стабильно или временно), объективно способные к сопротивлению.</w:t>
      </w:r>
    </w:p>
    <w:p w14:paraId="1D5DDBFD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b/>
          <w:bCs/>
        </w:rPr>
        <w:t>Некритичные жертвы. </w:t>
      </w:r>
      <w:r w:rsidRPr="0068174E">
        <w:t>В эту группу входят лица, демонстрирующие неосмотрительность, неумение правильно оценить жизненные ситуации: с низким образовательным уровнем, низким интеллектом, несовершеннолетние, преклонного возраста, больные, в том числе психически больные, некритичные без очевидных “формализованных” качеств. Дальнейшие исследования, проводимые Д.В. Ривманом, дали ему возможность несколько изменить классификацию. Туляков (2000), в свою очередь, предлагает классификацию жертв преступлений, основанную на характеристике мотивации ведущей виктимной активности личности (потенциальной жертвы):</w:t>
      </w:r>
    </w:p>
    <w:p w14:paraId="34CD4DA8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b/>
          <w:bCs/>
        </w:rPr>
        <w:t>Импульсивная жертва, </w:t>
      </w:r>
      <w:r w:rsidRPr="0068174E">
        <w:t>характеризующаяся преобладающим бессознательным чувством страха, подавленностью реакций и рационального мышления на нападения правонарушителя (феномен Авеля).</w:t>
      </w:r>
    </w:p>
    <w:p w14:paraId="4328EA37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b/>
          <w:bCs/>
        </w:rPr>
        <w:t>Жертва с утилитарно-ситуативной активностью. </w:t>
      </w:r>
      <w:r w:rsidRPr="0068174E">
        <w:t>Добровольные жертвы. Рецидивные, “застревающие” жертвы, в силу своей деятельности, статуса, неосмотрительности в ситуациях, требующих благоразумия, попадающие в криминальные ситуации.</w:t>
      </w:r>
    </w:p>
    <w:p w14:paraId="13AE2510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b/>
          <w:bCs/>
        </w:rPr>
        <w:t>Установочная жертва. </w:t>
      </w:r>
      <w:r w:rsidRPr="0068174E">
        <w:t>Агрессивная жертва, “ходячая бомба”, истероид, вызывающим поведением провоцирующий преступника на ответные действия.</w:t>
      </w:r>
    </w:p>
    <w:p w14:paraId="1AD08B91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b/>
          <w:bCs/>
        </w:rPr>
        <w:t>Рациональная жертва. </w:t>
      </w:r>
      <w:r w:rsidRPr="0068174E">
        <w:t>Жертва-провокатор, сама создающая ситуацию совершения преступления и сама попадающая в эту ловушку.</w:t>
      </w:r>
    </w:p>
    <w:p w14:paraId="4D86E85B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b/>
          <w:bCs/>
        </w:rPr>
        <w:t>Жертва с ретретистской активностью. </w:t>
      </w:r>
      <w:r w:rsidRPr="0068174E">
        <w:t>Пассивный провокатор, который своим внешним видом, образом жизни, повышенной тревожностью и доступностью подталкивает преступников к совершению правонарушений.</w:t>
      </w:r>
    </w:p>
    <w:p w14:paraId="4B8CCB1E" w14:textId="6D92B770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t>Следует также различать потенциальных (в отношении которых реального причинения вреда еще не произошло), реальных (уже понесших ущерб), а также латентных (реальных, но по тем или иным причинам оставшихся вне официального учета) жертв. Для виктимологии латентные жертвы, жертвы, намеренно избегающие огласки факта причинения им вреда, представляют особый интерес.</w:t>
      </w:r>
      <w:r>
        <w:t xml:space="preserve"> </w:t>
      </w:r>
      <w:r w:rsidRPr="0068174E">
        <w:t>Г</w:t>
      </w:r>
      <w:r>
        <w:t>о</w:t>
      </w:r>
      <w:r w:rsidRPr="0068174E">
        <w:t>раздо меньше (если не сказать крайне мало) исследований типов жертв существует собственно в некриминальной виктимологии. В процессе консультационной работы на телефоне доверия были выявлены следующие типы жертв (Плотникова, 2003):</w:t>
      </w:r>
    </w:p>
    <w:p w14:paraId="7359127D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b/>
          <w:bCs/>
          <w:i/>
          <w:iCs/>
        </w:rPr>
        <w:t>Виноватые. </w:t>
      </w:r>
      <w:r w:rsidRPr="0068174E">
        <w:t>Люди данного типа занимаются самоуничижением, с готовностью берут на себя ответственность за независящие от них события, за все беды и напасти. Они рьяно доказывают свою вину, приводя убедительные – с их точки зрения – доводы, и продолжают использовать вину в своих целях, часто по-детски наслаждаясь ею. Большинство из них редко совершает что-то противозаконное. Они могут использовать вину как орудие воспитания детей, передавая ее как эстафетную палочку своему ребенку.</w:t>
      </w:r>
    </w:p>
    <w:p w14:paraId="3B274863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b/>
          <w:bCs/>
          <w:i/>
          <w:iCs/>
        </w:rPr>
        <w:lastRenderedPageBreak/>
        <w:t>Самозапугиватели. </w:t>
      </w:r>
      <w:r w:rsidRPr="0068174E">
        <w:t>Страх и беспокойство – излюбленные эмоциональные реакции таких людей на воображаемую опасность в настоящем или в будущем. Человек с фобией знает, что его страхи воображаемые, но боится так же, как если бы они были настоящими. Жертва запугивает себя разными страшными случаями и историями на тему: “Я мог бы погибнуть”, “Мне страшно остаться одной”, “Я беспокоюсь о будущем своих детей”. Многие фобии существуют за счет того, что человек заглядывает в будущее, а не живет в настоящем, в котором нет страшных для него событий. Надо помнить, что некоторые страхи могут быть и обоснованными. Например, страх перед реально опасным супругом, избивающим жену.</w:t>
      </w:r>
    </w:p>
    <w:p w14:paraId="6D10C4EB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b/>
          <w:bCs/>
          <w:i/>
          <w:iCs/>
        </w:rPr>
        <w:t>Супермены. </w:t>
      </w:r>
      <w:r w:rsidRPr="0068174E">
        <w:t>Эти люди боятся проявления своих эмоций. Они недооценивают как себя, так и других, им не легко найти контакт со своими и чужими чувствами. “Я не знаю, что я чувствую. А что я должен чувствовать в этой ситуации?” – закономерное для них высказывание. Люди, подавляющие страх, рискующие своей жизнью, неосознанно стремятся к саморазрушению. Они развлекают публику леденящими душу подвигами и будут спорить и доказывать другим, что умеют заботиться о себе, а жизнь без риска была бы слишком скучной. Люди, подавляющие печаль, живущие с установкой – “никто не заставит меня плакать”, играют роль “сильного” мужчины или “сильной” женщины. Те, кто подавляют свой гнев, кто боится стать “разгневанными”, чтобы не сделать в этот момент что-нибудь дурное, рискуют стать жертвой.</w:t>
      </w:r>
    </w:p>
    <w:p w14:paraId="375F6C19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rStyle w:val="a4"/>
        </w:rPr>
        <w:t>Слайд 9</w:t>
      </w:r>
    </w:p>
    <w:p w14:paraId="62C2D751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i/>
          <w:iCs/>
        </w:rPr>
        <w:t>Текст слайда</w:t>
      </w:r>
    </w:p>
    <w:p w14:paraId="67CB2F44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rStyle w:val="a4"/>
        </w:rPr>
        <w:t>Слайд 10</w:t>
      </w:r>
    </w:p>
    <w:p w14:paraId="78E132AB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i/>
          <w:iCs/>
        </w:rPr>
        <w:t>Текст слайда</w:t>
      </w:r>
    </w:p>
    <w:p w14:paraId="7261CAB2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rStyle w:val="a4"/>
        </w:rPr>
        <w:t>Слайд 11</w:t>
      </w:r>
    </w:p>
    <w:p w14:paraId="2CAA032E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i/>
          <w:iCs/>
        </w:rPr>
        <w:t>Текст слайда</w:t>
      </w:r>
    </w:p>
    <w:p w14:paraId="1148C093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rStyle w:val="a4"/>
        </w:rPr>
        <w:t>Слайд 11</w:t>
      </w:r>
    </w:p>
    <w:p w14:paraId="2F10781B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i/>
          <w:iCs/>
        </w:rPr>
        <w:t>Текст слайда</w:t>
      </w:r>
    </w:p>
    <w:p w14:paraId="25DC8032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rStyle w:val="a4"/>
        </w:rPr>
        <w:t>Слайд 12</w:t>
      </w:r>
    </w:p>
    <w:p w14:paraId="172ED695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i/>
          <w:iCs/>
        </w:rPr>
        <w:t>Текст слайда</w:t>
      </w:r>
    </w:p>
    <w:p w14:paraId="7AEAD27D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rStyle w:val="a4"/>
        </w:rPr>
        <w:t>Слайд 13</w:t>
      </w:r>
    </w:p>
    <w:p w14:paraId="1D9A06BD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i/>
          <w:iCs/>
        </w:rPr>
        <w:t>Текст слайда</w:t>
      </w:r>
    </w:p>
    <w:p w14:paraId="390147EB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rStyle w:val="a4"/>
        </w:rPr>
        <w:t>Слайд 14</w:t>
      </w:r>
    </w:p>
    <w:p w14:paraId="0130D240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i/>
          <w:iCs/>
        </w:rPr>
        <w:t>Текст слайда</w:t>
      </w:r>
    </w:p>
    <w:p w14:paraId="48FE867D" w14:textId="77777777" w:rsidR="0068174E" w:rsidRPr="0068174E" w:rsidRDefault="0068174E" w:rsidP="0068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174E">
        <w:rPr>
          <w:b/>
          <w:bCs/>
          <w:i/>
          <w:iCs/>
        </w:rPr>
        <w:t>Заключение. </w:t>
      </w:r>
      <w:r w:rsidRPr="0068174E">
        <w:t>В заключении хотелось бы сказать следующее. Через несколько недель наши выпускники разъедутся по разным городам (Тюмень, Москва, Санкт-Петербург ...), попадут в иную среду с другими законами, к которой придется адаптироваться. Инструктаж о поведении в мегаполисе вы с ними проведете, от себя хотелось бы обратить внимание на некоторые детали, исключающие виктимность: пусть ваши дети не говорят своим новым друзьям откуда они, кем работают их родители, дабы избежать вымогательств. Не обнаруживают своего материального положения одеждой, аксессуарами и другими вещами. Не одеваются вызывающе, дабы избежать нападение. Никому не стоит давать свои пластиковые карты, не подписывать сомнительных бумаг. Поменьше хвастовства и побольше предусмотрительности не помешает, ведь привлекать к себе внимание небезопасно.</w:t>
      </w:r>
    </w:p>
    <w:p w14:paraId="34CA93F0" w14:textId="77777777" w:rsidR="00996AB0" w:rsidRPr="0068174E" w:rsidRDefault="00996AB0" w:rsidP="0068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96AB0" w:rsidRPr="0068174E" w:rsidSect="006817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B0"/>
    <w:rsid w:val="0068174E"/>
    <w:rsid w:val="0099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7382"/>
  <w15:chartTrackingRefBased/>
  <w15:docId w15:val="{324A36A6-2188-4FCA-9D43-17A582B0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174E"/>
    <w:rPr>
      <w:i/>
      <w:iCs/>
    </w:rPr>
  </w:style>
  <w:style w:type="character" w:styleId="a5">
    <w:name w:val="Strong"/>
    <w:basedOn w:val="a0"/>
    <w:uiPriority w:val="22"/>
    <w:qFormat/>
    <w:rsid w:val="00681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1375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2024-12-19T13:14:00Z</dcterms:created>
  <dcterms:modified xsi:type="dcterms:W3CDTF">2024-12-19T13:17:00Z</dcterms:modified>
</cp:coreProperties>
</file>